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656"/>
      </w:tblGrid>
      <w:tr>
        <w:tc>
          <w:tcPr>
            <w:tcW w:type="dxa" w:w="10656"/>
            <w:shd w:fill="111A17" w:val="clear"/>
            <w:tcMar>
              <w:top w:w="105" w:type="dxa"/>
              <w:start w:w="175" w:type="dxa"/>
              <w:bottom w:w="95" w:type="dxa"/>
              <w:end w:w="175" w:type="dxa"/>
            </w:tcMar>
            <w:tcBorders>
              <w:left w:val="single" w:sz="32" w:color="A6532C"/>
            </w:tcBorders>
          </w:tcPr>
          <w:p>
            <w:pPr>
              <w:spacing w:before="0" w:after="80" w:line="240" w:lineRule="auto"/>
            </w:pPr>
            <w:r>
              <w:rPr>
                <w:rFonts w:ascii="Consolas" w:hAnsi="Consolas" w:eastAsia="Consolas"/>
                <w:b/>
                <w:i w:val="0"/>
                <w:color w:val="DF9A72"/>
                <w:sz w:val="12"/>
              </w:rPr>
              <w:t>ENTERPRISE TRANSFORMATION  /  REGULATED SYSTEMS  /  GOVERNED AI</w:t>
            </w:r>
          </w:p>
          <w:p>
            <w:pPr>
              <w:spacing w:before="0" w:after="40" w:line="240" w:lineRule="auto"/>
              <w:keepNext/>
              <w:keepLines/>
            </w:pPr>
            <w:r>
              <w:rPr>
                <w:rFonts w:ascii="Georgia" w:hAnsi="Georgia" w:eastAsia="Georgia"/>
                <w:b/>
                <w:i w:val="0"/>
                <w:color w:val="FFFFFF"/>
                <w:sz w:val="50"/>
              </w:rPr>
              <w:t>Tony Malott</w:t>
            </w:r>
          </w:p>
          <w:p>
            <w:pPr>
              <w:spacing w:before="0" w:after="160" w:line="235" w:lineRule="auto"/>
            </w:pPr>
            <w:r>
              <w:rPr>
                <w:rFonts w:ascii="Georgia" w:hAnsi="Georgia" w:eastAsia="Georgia"/>
                <w:b/>
                <w:i w:val="0"/>
                <w:color w:val="F7F5EF"/>
                <w:sz w:val="32"/>
              </w:rPr>
              <w:t>Technology leadership across systems that cannot afford casual failure.</w:t>
            </w:r>
          </w:p>
          <w:p>
            <w:pPr>
              <w:spacing w:before="0" w:after="0" w:line="240" w:lineRule="auto"/>
            </w:pPr>
            <w:hyperlink r:id="rId9">
              <w:r>
                <w:rPr>
                  <w:color w:val="DF9A72"/>
                  <w:sz w:val="15"/>
                  <w:szCs w:val="15"/>
                  <w:rFonts w:ascii="Consolas" w:hAnsi="Consolas"/>
                  <w:b/>
                </w:rPr>
                <w:t>malott.ai</w:t>
              </w:r>
            </w:hyperlink>
            <w:r>
              <w:rPr>
                <w:rFonts w:ascii="Consolas" w:hAnsi="Consolas" w:eastAsia="Consolas"/>
                <w:b w:val="0"/>
                <w:i w:val="0"/>
                <w:color w:val="C8D0CB"/>
                <w:sz w:val="15"/>
              </w:rPr>
              <w:t xml:space="preserve">  |  </w:t>
            </w:r>
            <w:hyperlink r:id="rId10">
              <w:r>
                <w:rPr>
                  <w:color w:val="F7F5EF"/>
                  <w:sz w:val="15"/>
                  <w:szCs w:val="15"/>
                  <w:rFonts w:ascii="Consolas" w:hAnsi="Consolas"/>
                  <w:b/>
                </w:rPr>
                <w:t>tony@malott.ai</w:t>
              </w:r>
            </w:hyperlink>
          </w:p>
        </w:tc>
      </w:tr>
    </w:tbl>
    <w:p>
      <w:pPr>
        <w:spacing w:after="0"/>
      </w:pPr>
    </w:p>
    <w:p>
      <w:pPr>
        <w:spacing w:before="80" w:after="20" w:line="240" w:lineRule="auto"/>
        <w:keepNext/>
        <w:keepLines/>
      </w:pPr>
      <w:r>
        <w:rPr>
          <w:rFonts w:ascii="Consolas" w:hAnsi="Consolas" w:eastAsia="Consolas"/>
          <w:b/>
          <w:i w:val="0"/>
          <w:color w:val="A6532C"/>
          <w:sz w:val="13"/>
        </w:rPr>
        <w:t>EXECUTIVE PROFILE</w:t>
      </w:r>
    </w:p>
    <w:p>
      <w:pPr>
        <w:spacing w:before="0" w:after="80" w:line="240" w:lineRule="auto"/>
        <w:keepNext/>
        <w:keepLines/>
        <w:pBdr>
          <w:bottom w:val="single" w:sz="6" w:space="3" w:color="B9B8B1"/>
        </w:pBdr>
      </w:pPr>
      <w:r>
        <w:rPr>
          <w:rFonts w:ascii="Georgia" w:hAnsi="Georgia" w:eastAsia="Georgia"/>
          <w:b/>
          <w:i w:val="0"/>
          <w:color w:val="17201D"/>
          <w:sz w:val="30"/>
        </w:rPr>
        <w:t>Systems leadership with operational consequence</w:t>
      </w:r>
    </w:p>
    <w:p>
      <w:pPr>
        <w:spacing w:before="0" w:after="64" w:line="271" w:lineRule="auto"/>
        <w:keepLines/>
      </w:pPr>
      <w:r>
        <w:rPr>
          <w:rFonts w:ascii="Aptos" w:hAnsi="Aptos" w:eastAsia="Aptos"/>
          <w:b w:val="0"/>
          <w:i w:val="0"/>
          <w:color w:val="17201D"/>
          <w:sz w:val="17"/>
        </w:rPr>
        <w:t>Senior technology leader with twenty-five years of experience across enterprise transformation, regulated operational systems, global engineering, service delivery, acquisitions and divestitures, and governed AI architecture. The career spans pharmaceutical, medical-device, consumer, manufacturing, laboratory, distribution, supply-chain, and enterprise technology environments.</w:t>
      </w:r>
    </w:p>
    <w:p>
      <w:pPr>
        <w:spacing w:before="0" w:after="64" w:line="271" w:lineRule="auto"/>
        <w:keepLines/>
      </w:pPr>
      <w:r>
        <w:rPr>
          <w:rFonts w:ascii="Aptos" w:hAnsi="Aptos" w:eastAsia="Aptos"/>
          <w:b w:val="0"/>
          <w:i w:val="0"/>
          <w:color w:val="17201D"/>
          <w:sz w:val="17"/>
        </w:rPr>
        <w:t>Combines hands-on systems depth with program leadership, service industrialization, cybersecurity, quality-system alignment, supplier governance, financial accountability, and executive stakeholder engagement. The consistent operating pattern is to turn fragmented, high-consequence work into governed, supportable, repeatable capability.</w:t>
      </w:r>
    </w:p>
    <w:tbl>
      <w:tblPr>
        <w:tblW w:type="auto" w:w="0"/>
        <w:jc w:val="center"/>
        <w:tblLayout w:type="fixed"/>
        <w:tblLook w:firstColumn="1" w:firstRow="1" w:lastColumn="0" w:lastRow="0" w:noHBand="0" w:noVBand="1" w:val="04A0"/>
      </w:tblPr>
      <w:tblGrid>
        <w:gridCol w:w="10656"/>
      </w:tblGrid>
      <w:tr>
        <w:tc>
          <w:tcPr>
            <w:tcW w:type="dxa" w:w="10656"/>
            <w:shd w:fill="F3EEE4" w:val="clear"/>
            <w:tcMar>
              <w:top w:w="58" w:type="dxa"/>
              <w:start w:w="105" w:type="dxa"/>
              <w:bottom w:w="58" w:type="dxa"/>
              <w:end w:w="105" w:type="dxa"/>
            </w:tcMar>
            <w:tcBorders>
              <w:left w:val="single" w:sz="22" w:color="A6532C"/>
            </w:tcBorders>
          </w:tcPr>
          <w:p>
            <w:pPr>
              <w:spacing w:before="0" w:after="0" w:line="259" w:lineRule="auto"/>
            </w:pPr>
            <w:r>
              <w:rPr>
                <w:rFonts w:ascii="Aptos" w:hAnsi="Aptos" w:eastAsia="Aptos"/>
                <w:b/>
                <w:i w:val="0"/>
                <w:color w:val="17201D"/>
                <w:sz w:val="15"/>
              </w:rPr>
              <w:t>Not a traditional desktop-services profile. The career spans infrastructure, plant systems, laboratories, supply chain, service delivery, global engineering, regulated operations, enterprise transformation, and AI architecture.</w:t>
            </w:r>
          </w:p>
        </w:tc>
      </w:tr>
    </w:tbl>
    <w:p>
      <w:pPr>
        <w:spacing w:before="80" w:after="20" w:line="240" w:lineRule="auto"/>
        <w:keepNext/>
        <w:keepLines/>
      </w:pPr>
      <w:r>
        <w:rPr>
          <w:rFonts w:ascii="Consolas" w:hAnsi="Consolas" w:eastAsia="Consolas"/>
          <w:b/>
          <w:i w:val="0"/>
          <w:color w:val="A6532C"/>
          <w:sz w:val="13"/>
        </w:rPr>
        <w:t>SELECTED EVIDENCE</w:t>
      </w:r>
    </w:p>
    <w:p>
      <w:pPr>
        <w:spacing w:before="0" w:after="80" w:line="240" w:lineRule="auto"/>
        <w:keepNext/>
        <w:keepLines/>
        <w:pBdr>
          <w:bottom w:val="single" w:sz="6" w:space="3" w:color="B9B8B1"/>
        </w:pBdr>
      </w:pPr>
      <w:r>
        <w:rPr>
          <w:rFonts w:ascii="Georgia" w:hAnsi="Georgia" w:eastAsia="Georgia"/>
          <w:b/>
          <w:i w:val="0"/>
          <w:color w:val="17201D"/>
          <w:sz w:val="30"/>
        </w:rPr>
        <w:t>The twenty-second proof</w:t>
      </w:r>
    </w:p>
    <w:tbl>
      <w:tblPr>
        <w:tblW w:type="auto" w:w="0"/>
        <w:jc w:val="center"/>
        <w:tblLayout w:type="fixed"/>
        <w:tblLook w:firstColumn="1" w:firstRow="1" w:lastColumn="0" w:lastRow="0" w:noHBand="0" w:noVBand="1" w:val="04A0"/>
      </w:tblPr>
      <w:tblGrid>
        <w:gridCol w:w="5256"/>
        <w:gridCol w:w="5256"/>
      </w:tblGrid>
      <w:tr>
        <w:tc>
          <w:tcPr>
            <w:tcW w:type="dxa" w:w="5328"/>
            <w:shd w:fill="F3EEE4" w:val="clear"/>
            <w:tcMar>
              <w:top w:w="58" w:type="dxa"/>
              <w:start w:w="100" w:type="dxa"/>
              <w:bottom w:w="58" w:type="dxa"/>
              <w:end w:w="100" w:type="dxa"/>
            </w:tcMar>
            <w:vAlign w:val="top"/>
            <w:tcBorders>
              <w:top w:val="single" w:sz="6" w:color="B9B8B1"/>
              <w:left w:val="single" w:sz="6" w:color="B9B8B1"/>
              <w:bottom w:val="single" w:sz="6" w:color="B9B8B1"/>
              <w:right w:val="single" w:sz="6" w:color="B9B8B1"/>
            </w:tcBorders>
          </w:tcPr>
          <w:p>
            <w:pPr>
              <w:spacing w:before="0" w:after="60" w:line="240" w:lineRule="auto"/>
              <w:keepNext/>
              <w:keepLines/>
            </w:pPr>
            <w:r>
              <w:rPr>
                <w:rFonts w:ascii="Consolas" w:hAnsi="Consolas" w:eastAsia="Consolas"/>
                <w:b/>
                <w:i w:val="0"/>
                <w:color w:val="7C3B20"/>
                <w:sz w:val="12"/>
              </w:rPr>
              <w:t>GLOBAL SCALE</w:t>
            </w:r>
          </w:p>
          <w:p>
            <w:pPr>
              <w:spacing w:before="0" w:after="0" w:line="259" w:lineRule="auto"/>
            </w:pPr>
            <w:r>
              <w:rPr>
                <w:rFonts w:ascii="Aptos" w:hAnsi="Aptos" w:eastAsia="Aptos"/>
                <w:b/>
                <w:i w:val="0"/>
                <w:color w:val="17201D"/>
                <w:sz w:val="14"/>
              </w:rPr>
              <w:t>More than 100 sites and a five-figure regulated endpoint estate.</w:t>
            </w:r>
          </w:p>
        </w:tc>
        <w:tc>
          <w:tcPr>
            <w:tcW w:type="dxa" w:w="5328"/>
            <w:shd w:fill="F3EEE4" w:val="clear"/>
            <w:tcMar>
              <w:top w:w="58" w:type="dxa"/>
              <w:start w:w="100" w:type="dxa"/>
              <w:bottom w:w="58" w:type="dxa"/>
              <w:end w:w="100" w:type="dxa"/>
            </w:tcMar>
            <w:vAlign w:val="top"/>
            <w:tcBorders>
              <w:top w:val="single" w:sz="6" w:color="B9B8B1"/>
              <w:left w:val="single" w:sz="6" w:color="B9B8B1"/>
              <w:bottom w:val="single" w:sz="6" w:color="B9B8B1"/>
              <w:right w:val="single" w:sz="6" w:color="B9B8B1"/>
            </w:tcBorders>
          </w:tcPr>
          <w:p>
            <w:pPr>
              <w:spacing w:before="0" w:after="60" w:line="240" w:lineRule="auto"/>
              <w:keepNext/>
              <w:keepLines/>
            </w:pPr>
            <w:r>
              <w:rPr>
                <w:rFonts w:ascii="Consolas" w:hAnsi="Consolas" w:eastAsia="Consolas"/>
                <w:b/>
                <w:i w:val="0"/>
                <w:color w:val="7C3B20"/>
                <w:sz w:val="12"/>
              </w:rPr>
              <w:t>TRANSFORMATION</w:t>
            </w:r>
          </w:p>
          <w:p>
            <w:pPr>
              <w:spacing w:before="0" w:after="0" w:line="259" w:lineRule="auto"/>
            </w:pPr>
            <w:r>
              <w:rPr>
                <w:rFonts w:ascii="Aptos" w:hAnsi="Aptos" w:eastAsia="Aptos"/>
                <w:b/>
                <w:i w:val="0"/>
                <w:color w:val="17201D"/>
                <w:sz w:val="14"/>
              </w:rPr>
              <w:t>Multi-week regulated delivery reduced to hours through qualified automation.</w:t>
            </w:r>
          </w:p>
        </w:tc>
      </w:tr>
      <w:tr>
        <w:tc>
          <w:tcPr>
            <w:tcW w:type="dxa" w:w="5328"/>
            <w:shd w:fill="FFFFFF" w:val="clear"/>
            <w:tcMar>
              <w:top w:w="58" w:type="dxa"/>
              <w:start w:w="100" w:type="dxa"/>
              <w:bottom w:w="58" w:type="dxa"/>
              <w:end w:w="100" w:type="dxa"/>
            </w:tcMar>
            <w:vAlign w:val="top"/>
            <w:tcBorders>
              <w:top w:val="single" w:sz="6" w:color="B9B8B1"/>
              <w:left w:val="single" w:sz="6" w:color="B9B8B1"/>
              <w:bottom w:val="single" w:sz="6" w:color="B9B8B1"/>
              <w:right w:val="single" w:sz="6" w:color="B9B8B1"/>
            </w:tcBorders>
          </w:tcPr>
          <w:p>
            <w:pPr>
              <w:spacing w:before="0" w:after="60" w:line="240" w:lineRule="auto"/>
              <w:keepNext/>
              <w:keepLines/>
            </w:pPr>
            <w:r>
              <w:rPr>
                <w:rFonts w:ascii="Consolas" w:hAnsi="Consolas" w:eastAsia="Consolas"/>
                <w:b/>
                <w:i w:val="0"/>
                <w:color w:val="7C3B20"/>
                <w:sz w:val="12"/>
              </w:rPr>
              <w:t>BUSINESS SEPARATION</w:t>
            </w:r>
          </w:p>
          <w:p>
            <w:pPr>
              <w:spacing w:before="0" w:after="0" w:line="259" w:lineRule="auto"/>
            </w:pPr>
            <w:r>
              <w:rPr>
                <w:rFonts w:ascii="Aptos" w:hAnsi="Aptos" w:eastAsia="Aptos"/>
                <w:b/>
                <w:i w:val="0"/>
                <w:color w:val="17201D"/>
                <w:sz w:val="14"/>
              </w:rPr>
              <w:t>Approximately 3,000 regulated operational endpoints transitioned during a global divestiture.</w:t>
            </w:r>
          </w:p>
        </w:tc>
        <w:tc>
          <w:tcPr>
            <w:tcW w:type="dxa" w:w="5328"/>
            <w:shd w:fill="FFFFFF" w:val="clear"/>
            <w:tcMar>
              <w:top w:w="58" w:type="dxa"/>
              <w:start w:w="100" w:type="dxa"/>
              <w:bottom w:w="58" w:type="dxa"/>
              <w:end w:w="100" w:type="dxa"/>
            </w:tcMar>
            <w:vAlign w:val="top"/>
            <w:tcBorders>
              <w:top w:val="single" w:sz="6" w:color="B9B8B1"/>
              <w:left w:val="single" w:sz="6" w:color="B9B8B1"/>
              <w:bottom w:val="single" w:sz="6" w:color="B9B8B1"/>
              <w:right w:val="single" w:sz="6" w:color="B9B8B1"/>
            </w:tcBorders>
          </w:tcPr>
          <w:p>
            <w:pPr>
              <w:spacing w:before="0" w:after="60" w:line="240" w:lineRule="auto"/>
              <w:keepNext/>
              <w:keepLines/>
            </w:pPr>
            <w:r>
              <w:rPr>
                <w:rFonts w:ascii="Consolas" w:hAnsi="Consolas" w:eastAsia="Consolas"/>
                <w:b/>
                <w:i w:val="0"/>
                <w:color w:val="7C3B20"/>
                <w:sz w:val="12"/>
              </w:rPr>
              <w:t>FINANCIAL IMPACT</w:t>
            </w:r>
          </w:p>
          <w:p>
            <w:pPr>
              <w:spacing w:before="0" w:after="0" w:line="259" w:lineRule="auto"/>
            </w:pPr>
            <w:r>
              <w:rPr>
                <w:rFonts w:ascii="Aptos" w:hAnsi="Aptos" w:eastAsia="Aptos"/>
                <w:b/>
                <w:i w:val="0"/>
                <w:color w:val="17201D"/>
                <w:sz w:val="14"/>
              </w:rPr>
              <w:t>Approximately $6 million in verified cost avoidance from one major migration program alone.</w:t>
            </w:r>
          </w:p>
        </w:tc>
      </w:tr>
      <w:tr>
        <w:tc>
          <w:tcPr>
            <w:tcW w:type="dxa" w:w="10656"/>
            <w:gridSpan w:val="2"/>
            <w:shd w:fill="EBE2D3" w:val="clear"/>
            <w:tcMar>
              <w:top w:w="58" w:type="dxa"/>
              <w:start w:w="100" w:type="dxa"/>
              <w:bottom w:w="58" w:type="dxa"/>
              <w:end w:w="100" w:type="dxa"/>
            </w:tcMar>
            <w:vAlign w:val="top"/>
            <w:tcBorders>
              <w:top w:val="single" w:sz="6" w:color="B9B8B1"/>
              <w:left w:val="single" w:sz="6" w:color="B9B8B1"/>
              <w:bottom w:val="single" w:sz="6" w:color="B9B8B1"/>
              <w:right w:val="single" w:sz="6" w:color="B9B8B1"/>
            </w:tcBorders>
          </w:tcPr>
          <w:p>
            <w:pPr>
              <w:spacing w:before="0" w:after="60" w:line="240" w:lineRule="auto"/>
              <w:keepNext/>
              <w:keepLines/>
            </w:pPr>
            <w:r>
              <w:rPr>
                <w:rFonts w:ascii="Consolas" w:hAnsi="Consolas" w:eastAsia="Consolas"/>
                <w:b/>
                <w:i w:val="0"/>
                <w:color w:val="7C3B20"/>
                <w:sz w:val="12"/>
              </w:rPr>
              <w:t>AI ARCHITECTURE</w:t>
            </w:r>
          </w:p>
          <w:p>
            <w:pPr>
              <w:spacing w:before="0" w:after="0" w:line="259" w:lineRule="auto"/>
            </w:pPr>
            <w:r>
              <w:rPr>
                <w:rFonts w:ascii="Aptos" w:hAnsi="Aptos" w:eastAsia="Aptos"/>
                <w:b/>
                <w:i w:val="0"/>
                <w:color w:val="17201D"/>
                <w:sz w:val="14"/>
              </w:rPr>
              <w:t>Embedded in enterprise architecture, contributing to AI strategy, standards, and reusable patterns.</w:t>
            </w:r>
          </w:p>
        </w:tc>
      </w:tr>
    </w:tbl>
    <w:p>
      <w:pPr>
        <w:spacing w:before="80" w:after="20" w:line="240" w:lineRule="auto"/>
        <w:keepNext/>
        <w:keepLines/>
      </w:pPr>
      <w:r>
        <w:rPr>
          <w:rFonts w:ascii="Consolas" w:hAnsi="Consolas" w:eastAsia="Consolas"/>
          <w:b/>
          <w:i w:val="0"/>
          <w:color w:val="A6532C"/>
          <w:sz w:val="13"/>
        </w:rPr>
        <w:t>CURRENT MANDATE</w:t>
      </w:r>
    </w:p>
    <w:p>
      <w:pPr>
        <w:spacing w:before="0" w:after="80" w:line="240" w:lineRule="auto"/>
        <w:keepNext/>
        <w:keepLines/>
        <w:pBdr>
          <w:bottom w:val="single" w:sz="6" w:space="3" w:color="B9B8B1"/>
        </w:pBdr>
      </w:pPr>
      <w:r>
        <w:rPr>
          <w:rFonts w:ascii="Georgia" w:hAnsi="Georgia" w:eastAsia="Georgia"/>
          <w:b/>
          <w:i w:val="0"/>
          <w:color w:val="17201D"/>
          <w:sz w:val="30"/>
        </w:rPr>
        <w:t>Global ownership and enterprise architecture</w:t>
      </w:r>
    </w:p>
    <w:p>
      <w:pPr>
        <w:spacing w:before="40" w:after="40" w:line="240" w:lineRule="auto"/>
        <w:keepNext/>
        <w:keepLines/>
      </w:pPr>
      <w:r>
        <w:rPr>
          <w:rFonts w:ascii="Consolas" w:hAnsi="Consolas" w:eastAsia="Consolas"/>
          <w:b/>
          <w:i w:val="0"/>
          <w:color w:val="7C3B20"/>
          <w:sz w:val="11"/>
        </w:rPr>
        <w:t>2018-PRESENT  /  GLOBAL SERVICE OWNERSHIP</w:t>
      </w:r>
    </w:p>
    <w:p>
      <w:pPr>
        <w:spacing w:before="0" w:after="60" w:line="240" w:lineRule="auto"/>
        <w:keepNext/>
        <w:keepLines/>
        <w:pBdr>
          <w:left w:val="single" w:sz="16" w:space="6" w:color="A6532C"/>
        </w:pBdr>
      </w:pPr>
      <w:r>
        <w:rPr>
          <w:rFonts w:ascii="Georgia" w:hAnsi="Georgia" w:eastAsia="Georgia"/>
          <w:b/>
          <w:i w:val="0"/>
          <w:color w:val="17201D"/>
          <w:sz w:val="21"/>
        </w:rPr>
        <w:t>Global Service Owner, MLL Workstation Engineering Services</w:t>
      </w:r>
    </w:p>
    <w:p>
      <w:pPr>
        <w:pStyle w:val="ListBullet"/>
        <w:spacing w:before="0" w:after="20" w:line="264" w:lineRule="auto"/>
        <w:keepLines/>
      </w:pPr>
      <w:r>
        <w:rPr>
          <w:rFonts w:ascii="Aptos" w:hAnsi="Aptos" w:eastAsia="Aptos"/>
          <w:b w:val="0"/>
          <w:i w:val="0"/>
          <w:color w:val="17201D"/>
          <w:sz w:val="15"/>
        </w:rPr>
        <w:t>Owns global workstation engineering and service delivery for manufacturing, laboratory, logistics, distribution, research, and operational technology environments across Windows and Linux platforms.</w:t>
      </w:r>
    </w:p>
    <w:p>
      <w:pPr>
        <w:pStyle w:val="ListBullet"/>
        <w:spacing w:before="0" w:after="20" w:line="264" w:lineRule="auto"/>
        <w:keepLines/>
      </w:pPr>
      <w:r>
        <w:rPr>
          <w:rFonts w:ascii="Aptos" w:hAnsi="Aptos" w:eastAsia="Aptos"/>
          <w:b w:val="0"/>
          <w:i w:val="0"/>
          <w:color w:val="17201D"/>
          <w:sz w:val="15"/>
        </w:rPr>
        <w:t>Leads architecture, lifecycle governance, service industrialization, automation, cybersecurity, recovery, observability, supplier execution, unit-cost pricing, financial stewardship, quality-system alignment, audit readiness, and global operational continuity.</w:t>
      </w:r>
    </w:p>
    <w:p>
      <w:pPr>
        <w:spacing w:before="0" w:after="0" w:line="240" w:lineRule="auto"/>
        <w:pBdr>
          <w:bottom w:val="single" w:sz="4" w:space="0" w:color="B9B8B1"/>
        </w:pBdr>
      </w:pPr>
    </w:p>
    <w:p>
      <w:pPr>
        <w:spacing w:before="40" w:after="40" w:line="240" w:lineRule="auto"/>
        <w:keepNext/>
        <w:keepLines/>
      </w:pPr>
      <w:r>
        <w:rPr>
          <w:rFonts w:ascii="Consolas" w:hAnsi="Consolas" w:eastAsia="Consolas"/>
          <w:b/>
          <w:i w:val="0"/>
          <w:color w:val="7C3B20"/>
          <w:sz w:val="11"/>
        </w:rPr>
        <w:t>2026  /  CONCURRENT DEVELOPMENTAL ASSIGNMENT</w:t>
      </w:r>
    </w:p>
    <w:p>
      <w:pPr>
        <w:spacing w:before="0" w:after="60" w:line="240" w:lineRule="auto"/>
        <w:keepNext/>
        <w:keepLines/>
        <w:pBdr>
          <w:left w:val="single" w:sz="16" w:space="6" w:color="A6532C"/>
        </w:pBdr>
      </w:pPr>
      <w:r>
        <w:rPr>
          <w:rFonts w:ascii="Georgia" w:hAnsi="Georgia" w:eastAsia="Georgia"/>
          <w:b/>
          <w:i w:val="0"/>
          <w:color w:val="17201D"/>
          <w:sz w:val="21"/>
        </w:rPr>
        <w:t>Principal Architect, AI &amp; Enterprise Architecture</w:t>
      </w:r>
    </w:p>
    <w:p>
      <w:pPr>
        <w:pStyle w:val="ListBullet"/>
        <w:spacing w:before="0" w:after="20" w:line="264" w:lineRule="auto"/>
        <w:keepLines/>
      </w:pPr>
      <w:r>
        <w:rPr>
          <w:rFonts w:ascii="Aptos" w:hAnsi="Aptos" w:eastAsia="Aptos"/>
          <w:b w:val="0"/>
          <w:i w:val="0"/>
          <w:color w:val="17201D"/>
          <w:sz w:val="15"/>
        </w:rPr>
        <w:t>Embedded within the enterprise architecture organization to contribute to AI strategy, architecture standards, reusable patterns, cross-domain solution design, and regulated adoption.</w:t>
      </w:r>
    </w:p>
    <w:p>
      <w:pPr>
        <w:pStyle w:val="ListBullet"/>
        <w:spacing w:before="0" w:after="20" w:line="264" w:lineRule="auto"/>
        <w:keepLines/>
      </w:pPr>
      <w:r>
        <w:rPr>
          <w:rFonts w:ascii="Aptos" w:hAnsi="Aptos" w:eastAsia="Aptos"/>
          <w:b w:val="0"/>
          <w:i w:val="0"/>
          <w:color w:val="17201D"/>
          <w:sz w:val="15"/>
        </w:rPr>
        <w:t>Applies governed AI and context-as-code patterns while continuing global operational-platform engineering and service ownership.</w:t>
      </w:r>
    </w:p>
    <w:p>
      <w:pPr>
        <w:spacing w:before="0" w:after="0" w:line="240" w:lineRule="auto"/>
        <w:pBdr>
          <w:bottom w:val="single" w:sz="4" w:space="0" w:color="B9B8B1"/>
        </w:pBdr>
      </w:pPr>
    </w:p>
    <w:p>
      <w:r>
        <w:br w:type="page"/>
      </w:r>
    </w:p>
    <w:tbl>
      <w:tblPr>
        <w:tblW w:type="auto" w:w="0"/>
        <w:jc w:val="center"/>
        <w:tblLayout w:type="fixed"/>
        <w:tblLook w:firstColumn="1" w:firstRow="1" w:lastColumn="0" w:lastRow="0" w:noHBand="0" w:noVBand="1" w:val="04A0"/>
      </w:tblPr>
      <w:tblGrid>
        <w:gridCol w:w="10656"/>
      </w:tblGrid>
      <w:tr>
        <w:tc>
          <w:tcPr>
            <w:tcW w:type="dxa" w:w="10656"/>
            <w:shd w:fill="F3EEE4" w:val="clear"/>
            <w:tcMar>
              <w:top w:w="70" w:type="dxa"/>
              <w:start w:w="120" w:type="dxa"/>
              <w:bottom w:w="70" w:type="dxa"/>
              <w:end w:w="120" w:type="dxa"/>
            </w:tcMar>
            <w:tcBorders>
              <w:left w:val="single" w:sz="26" w:color="A6532C"/>
            </w:tcBorders>
          </w:tcPr>
          <w:p>
            <w:pPr>
              <w:spacing w:before="0" w:after="40" w:line="240" w:lineRule="auto"/>
              <w:keepNext/>
              <w:keepLines/>
            </w:pPr>
            <w:r>
              <w:rPr>
                <w:rFonts w:ascii="Consolas" w:hAnsi="Consolas" w:eastAsia="Consolas"/>
                <w:b/>
                <w:i w:val="0"/>
                <w:color w:val="7C3B20"/>
                <w:sz w:val="12"/>
              </w:rPr>
              <w:t>SIGNATURE OPERATING PHILOSOPHY</w:t>
            </w:r>
          </w:p>
          <w:p>
            <w:pPr>
              <w:spacing w:before="0" w:after="80" w:line="240" w:lineRule="auto"/>
              <w:keepNext/>
              <w:keepLines/>
            </w:pPr>
            <w:r>
              <w:rPr>
                <w:rFonts w:ascii="Georgia" w:hAnsi="Georgia" w:eastAsia="Georgia"/>
                <w:b/>
                <w:i w:val="0"/>
                <w:color w:val="17201D"/>
                <w:sz w:val="26"/>
              </w:rPr>
              <w:t>Context is code.</w:t>
            </w:r>
          </w:p>
          <w:p>
            <w:pPr>
              <w:spacing w:before="0" w:after="40" w:line="259" w:lineRule="auto"/>
            </w:pPr>
            <w:r>
              <w:rPr>
                <w:rFonts w:ascii="Aptos" w:hAnsi="Aptos" w:eastAsia="Aptos"/>
                <w:b/>
                <w:i w:val="0"/>
                <w:color w:val="17201D"/>
                <w:sz w:val="15"/>
              </w:rPr>
              <w:t>Treat authority, source lineage, operating boundaries, decision history, validation, and handoff instructions as versioned system components rather than loose documents or transient chat history.</w:t>
            </w:r>
          </w:p>
          <w:p>
            <w:pPr>
              <w:spacing w:before="0" w:after="0" w:line="259" w:lineRule="auto"/>
            </w:pPr>
            <w:r>
              <w:rPr>
                <w:rFonts w:ascii="Aptos" w:hAnsi="Aptos" w:eastAsia="Aptos"/>
                <w:b w:val="0"/>
                <w:i w:val="0"/>
                <w:color w:val="5F6862"/>
                <w:sz w:val="14"/>
              </w:rPr>
              <w:t>The result is work that can be reviewed, regenerated, transferred, and governed without depending on one person's memory or one model's context window.</w:t>
            </w:r>
          </w:p>
        </w:tc>
      </w:tr>
    </w:tbl>
    <w:p>
      <w:pPr>
        <w:spacing w:before="80" w:after="20" w:line="240" w:lineRule="auto"/>
        <w:keepNext/>
        <w:keepLines/>
      </w:pPr>
      <w:r>
        <w:rPr>
          <w:rFonts w:ascii="Consolas" w:hAnsi="Consolas" w:eastAsia="Consolas"/>
          <w:b/>
          <w:i w:val="0"/>
          <w:color w:val="A6532C"/>
          <w:sz w:val="13"/>
        </w:rPr>
        <w:t>CAREER-DEFINING TRANSFORMATIONS</w:t>
      </w:r>
    </w:p>
    <w:p>
      <w:pPr>
        <w:spacing w:before="0" w:after="80" w:line="240" w:lineRule="auto"/>
        <w:keepNext/>
        <w:keepLines/>
        <w:pBdr>
          <w:bottom w:val="single" w:sz="6" w:space="3" w:color="B9B8B1"/>
        </w:pBdr>
      </w:pPr>
      <w:r>
        <w:rPr>
          <w:rFonts w:ascii="Georgia" w:hAnsi="Georgia" w:eastAsia="Georgia"/>
          <w:b/>
          <w:i w:val="0"/>
          <w:color w:val="17201D"/>
          <w:sz w:val="30"/>
        </w:rPr>
        <w:t>Selected work that changed the operating model</w:t>
      </w:r>
    </w:p>
    <w:tbl>
      <w:tblPr>
        <w:tblW w:type="auto" w:w="0"/>
        <w:jc w:val="center"/>
        <w:tblLayout w:type="fixed"/>
        <w:tblLook w:firstColumn="1" w:firstRow="1" w:lastColumn="0" w:lastRow="0" w:noHBand="0" w:noVBand="1" w:val="04A0"/>
      </w:tblPr>
      <w:tblGrid>
        <w:gridCol w:w="5256"/>
        <w:gridCol w:w="5256"/>
      </w:tblGrid>
      <w:tr>
        <w:tc>
          <w:tcPr>
            <w:tcW w:type="dxa" w:w="5328"/>
            <w:shd w:fill="F3EEE4" w:val="clear"/>
            <w:tcMar>
              <w:top w:w="55" w:type="dxa"/>
              <w:start w:w="90" w:type="dxa"/>
              <w:bottom w:w="55" w:type="dxa"/>
              <w:end w:w="90" w:type="dxa"/>
            </w:tcMar>
            <w:tcBorders>
              <w:top w:val="single" w:sz="16" w:color="A6532C"/>
              <w:left w:val="single" w:sz="4" w:color="B9B8B1"/>
              <w:bottom w:val="single" w:sz="4" w:color="B9B8B1"/>
              <w:right w:val="single" w:sz="4" w:color="B9B8B1"/>
            </w:tcBorders>
            <w:vAlign w:val="top"/>
          </w:tcPr>
          <w:p>
            <w:pPr>
              <w:spacing w:before="0" w:after="60" w:line="240" w:lineRule="auto"/>
              <w:keepNext/>
              <w:keepLines/>
            </w:pPr>
            <w:r>
              <w:rPr>
                <w:rFonts w:ascii="Consolas" w:hAnsi="Consolas" w:eastAsia="Consolas"/>
                <w:b/>
                <w:i w:val="0"/>
                <w:color w:val="7C3B20"/>
                <w:sz w:val="11"/>
              </w:rPr>
              <w:t>01  /  INDUSTRIALIZATION</w:t>
            </w:r>
          </w:p>
          <w:p>
            <w:pPr>
              <w:spacing w:before="0" w:after="80" w:line="240" w:lineRule="auto"/>
              <w:keepNext/>
              <w:keepLines/>
            </w:pPr>
            <w:r>
              <w:rPr>
                <w:rFonts w:ascii="Georgia" w:hAnsi="Georgia" w:eastAsia="Georgia"/>
                <w:b/>
                <w:i w:val="0"/>
                <w:color w:val="17201D"/>
                <w:sz w:val="19"/>
              </w:rPr>
              <w:t>Regulated OT workstation industrialization</w:t>
            </w:r>
          </w:p>
          <w:p>
            <w:pPr>
              <w:spacing w:before="0" w:after="0" w:line="257" w:lineRule="auto"/>
            </w:pPr>
            <w:r>
              <w:rPr>
                <w:rFonts w:ascii="Aptos" w:hAnsi="Aptos" w:eastAsia="Aptos"/>
                <w:b w:val="0"/>
                <w:i w:val="0"/>
                <w:color w:val="5F6862"/>
                <w:sz w:val="13"/>
              </w:rPr>
              <w:t>Led the development and global adoption of an enterprise-qualified automation framework that transformed regulated workstation delivery from a manual, multi-week process into a repeatable workflow completed in hours for supported releases and use cases. The platform automated build, configuration, qualification, validation, evidence generation, documentation, change activities, and configuration-management updates, enabling thousands of qualified deployments and approximately $6 million in verified cost avoidance for the Windows 7 to Windows 10 migration alone.</w:t>
            </w:r>
          </w:p>
        </w:tc>
        <w:tc>
          <w:tcPr>
            <w:tcW w:type="dxa" w:w="5328"/>
            <w:shd w:fill="F3EEE4" w:val="clear"/>
            <w:tcMar>
              <w:top w:w="55" w:type="dxa"/>
              <w:start w:w="90" w:type="dxa"/>
              <w:bottom w:w="55" w:type="dxa"/>
              <w:end w:w="90" w:type="dxa"/>
            </w:tcMar>
            <w:tcBorders>
              <w:top w:val="single" w:sz="16" w:color="A6532C"/>
              <w:left w:val="single" w:sz="4" w:color="B9B8B1"/>
              <w:bottom w:val="single" w:sz="4" w:color="B9B8B1"/>
              <w:right w:val="single" w:sz="4" w:color="B9B8B1"/>
            </w:tcBorders>
            <w:vAlign w:val="top"/>
          </w:tcPr>
          <w:p>
            <w:pPr>
              <w:spacing w:before="0" w:after="60" w:line="240" w:lineRule="auto"/>
              <w:keepNext/>
              <w:keepLines/>
            </w:pPr>
            <w:r>
              <w:rPr>
                <w:rFonts w:ascii="Consolas" w:hAnsi="Consolas" w:eastAsia="Consolas"/>
                <w:b/>
                <w:i w:val="0"/>
                <w:color w:val="7C3B20"/>
                <w:sz w:val="11"/>
              </w:rPr>
              <w:t>02  /  CONTROLLED TRANSITION</w:t>
            </w:r>
          </w:p>
          <w:p>
            <w:pPr>
              <w:spacing w:before="0" w:after="80" w:line="240" w:lineRule="auto"/>
              <w:keepNext/>
              <w:keepLines/>
            </w:pPr>
            <w:r>
              <w:rPr>
                <w:rFonts w:ascii="Georgia" w:hAnsi="Georgia" w:eastAsia="Georgia"/>
                <w:b/>
                <w:i w:val="0"/>
                <w:color w:val="17201D"/>
                <w:sz w:val="19"/>
              </w:rPr>
              <w:t>Global consumer-business divestiture</w:t>
            </w:r>
          </w:p>
          <w:p>
            <w:pPr>
              <w:spacing w:before="0" w:after="0" w:line="257" w:lineRule="auto"/>
            </w:pPr>
            <w:r>
              <w:rPr>
                <w:rFonts w:ascii="Aptos" w:hAnsi="Aptos" w:eastAsia="Aptos"/>
                <w:b w:val="0"/>
                <w:i w:val="0"/>
                <w:color w:val="5F6862"/>
                <w:sz w:val="13"/>
              </w:rPr>
              <w:t>Owned and led the global regulated endpoint transition workstream for approximately 3,000 operational workstations. Directed the transition architecture, migration strategy, tooling, automation, controlled execution, issue resolution, and service continuity. The process transferred critical systems without routine reimaging while preserving security, management, recovery, traceability, qualification and validation posture, and business continuity.</w:t>
            </w:r>
          </w:p>
        </w:tc>
      </w:tr>
      <w:tr>
        <w:tc>
          <w:tcPr>
            <w:tcW w:type="dxa" w:w="5328"/>
            <w:shd w:fill="FFFFFF" w:val="clear"/>
            <w:tcMar>
              <w:top w:w="55" w:type="dxa"/>
              <w:start w:w="90" w:type="dxa"/>
              <w:bottom w:w="55" w:type="dxa"/>
              <w:end w:w="90" w:type="dxa"/>
            </w:tcMar>
            <w:tcBorders>
              <w:top w:val="single" w:sz="16" w:color="A6532C"/>
              <w:left w:val="single" w:sz="4" w:color="B9B8B1"/>
              <w:bottom w:val="single" w:sz="4" w:color="B9B8B1"/>
              <w:right w:val="single" w:sz="4" w:color="B9B8B1"/>
            </w:tcBorders>
            <w:vAlign w:val="top"/>
          </w:tcPr>
          <w:p>
            <w:pPr>
              <w:spacing w:before="0" w:after="60" w:line="240" w:lineRule="auto"/>
              <w:keepNext/>
              <w:keepLines/>
            </w:pPr>
            <w:r>
              <w:rPr>
                <w:rFonts w:ascii="Consolas" w:hAnsi="Consolas" w:eastAsia="Consolas"/>
                <w:b/>
                <w:i w:val="0"/>
                <w:color w:val="7C3B20"/>
                <w:sz w:val="11"/>
              </w:rPr>
              <w:t>03  /  GLOBAL OPERATING MODEL</w:t>
            </w:r>
          </w:p>
          <w:p>
            <w:pPr>
              <w:spacing w:before="0" w:after="80" w:line="240" w:lineRule="auto"/>
              <w:keepNext/>
              <w:keepLines/>
            </w:pPr>
            <w:r>
              <w:rPr>
                <w:rFonts w:ascii="Georgia" w:hAnsi="Georgia" w:eastAsia="Georgia"/>
                <w:b/>
                <w:i w:val="0"/>
                <w:color w:val="17201D"/>
                <w:sz w:val="19"/>
              </w:rPr>
              <w:t>Global platform and service industrialization</w:t>
            </w:r>
          </w:p>
          <w:p>
            <w:pPr>
              <w:spacing w:before="0" w:after="0" w:line="257" w:lineRule="auto"/>
            </w:pPr>
            <w:r>
              <w:rPr>
                <w:rFonts w:ascii="Aptos" w:hAnsi="Aptos" w:eastAsia="Aptos"/>
                <w:b w:val="0"/>
                <w:i w:val="0"/>
                <w:color w:val="5F6862"/>
                <w:sz w:val="13"/>
              </w:rPr>
              <w:t>Transformed fragmented site-level engineering and support practices into a governed global service for regulated Windows and Linux platforms. Established platform baselines, lifecycle controls, qualification and validation patterns, recovery models, cybersecurity controls, supplier expectations, service metrics, automation, support boundaries, unit-cost pricing, and service-consumption models across more than 100 sites and a five-figure regulated endpoint estate.</w:t>
            </w:r>
          </w:p>
        </w:tc>
        <w:tc>
          <w:tcPr>
            <w:tcW w:type="dxa" w:w="5328"/>
            <w:shd w:fill="FFFFFF" w:val="clear"/>
            <w:tcMar>
              <w:top w:w="55" w:type="dxa"/>
              <w:start w:w="90" w:type="dxa"/>
              <w:bottom w:w="55" w:type="dxa"/>
              <w:end w:w="90" w:type="dxa"/>
            </w:tcMar>
            <w:tcBorders>
              <w:top w:val="single" w:sz="16" w:color="A6532C"/>
              <w:left w:val="single" w:sz="4" w:color="B9B8B1"/>
              <w:bottom w:val="single" w:sz="4" w:color="B9B8B1"/>
              <w:right w:val="single" w:sz="4" w:color="B9B8B1"/>
            </w:tcBorders>
            <w:vAlign w:val="top"/>
          </w:tcPr>
          <w:p>
            <w:pPr>
              <w:spacing w:before="0" w:after="60" w:line="240" w:lineRule="auto"/>
              <w:keepNext/>
              <w:keepLines/>
            </w:pPr>
            <w:r>
              <w:rPr>
                <w:rFonts w:ascii="Consolas" w:hAnsi="Consolas" w:eastAsia="Consolas"/>
                <w:b/>
                <w:i w:val="0"/>
                <w:color w:val="7C3B20"/>
                <w:sz w:val="11"/>
              </w:rPr>
              <w:t>04  /  ENTERPRISE MIGRATION</w:t>
            </w:r>
          </w:p>
          <w:p>
            <w:pPr>
              <w:spacing w:before="0" w:after="80" w:line="240" w:lineRule="auto"/>
              <w:keepNext/>
              <w:keepLines/>
            </w:pPr>
            <w:r>
              <w:rPr>
                <w:rFonts w:ascii="Georgia" w:hAnsi="Georgia" w:eastAsia="Georgia"/>
                <w:b/>
                <w:i w:val="0"/>
                <w:color w:val="17201D"/>
                <w:sz w:val="19"/>
              </w:rPr>
              <w:t>Global Microsoft 365 supply-chain migration</w:t>
            </w:r>
          </w:p>
          <w:p>
            <w:pPr>
              <w:spacing w:before="0" w:after="0" w:line="257" w:lineRule="auto"/>
            </w:pPr>
            <w:r>
              <w:rPr>
                <w:rFonts w:ascii="Aptos" w:hAnsi="Aptos" w:eastAsia="Aptos"/>
                <w:b w:val="0"/>
                <w:i w:val="0"/>
                <w:color w:val="5F6862"/>
                <w:sz w:val="13"/>
              </w:rPr>
              <w:t>Led planning, governance, and migration execution for the global supply-chain end-user population across pharmaceutical, medical-device, and consumer-business sectors. Oversaw regional and site delivery teams responsible for readiness, sequencing, communications, issue resolution, and cutover execution across a geographically distributed Fortune 500 healthcare environment.</w:t>
            </w:r>
          </w:p>
        </w:tc>
      </w:tr>
      <w:tr>
        <w:tc>
          <w:tcPr>
            <w:tcW w:type="dxa" w:w="10656"/>
            <w:gridSpan w:val="2"/>
            <w:shd w:fill="EBE2D3" w:val="clear"/>
            <w:tcMar>
              <w:top w:w="55" w:type="dxa"/>
              <w:start w:w="90" w:type="dxa"/>
              <w:bottom w:w="55" w:type="dxa"/>
              <w:end w:w="90" w:type="dxa"/>
            </w:tcMar>
            <w:tcBorders>
              <w:top w:val="single" w:sz="16" w:color="A6532C"/>
              <w:left w:val="single" w:sz="4" w:color="B9B8B1"/>
              <w:bottom w:val="single" w:sz="4" w:color="B9B8B1"/>
              <w:right w:val="single" w:sz="4" w:color="B9B8B1"/>
            </w:tcBorders>
            <w:vAlign w:val="top"/>
          </w:tcPr>
          <w:p>
            <w:pPr>
              <w:spacing w:before="0" w:after="60" w:line="240" w:lineRule="auto"/>
              <w:keepNext/>
              <w:keepLines/>
            </w:pPr>
            <w:r>
              <w:rPr>
                <w:rFonts w:ascii="Consolas" w:hAnsi="Consolas" w:eastAsia="Consolas"/>
                <w:b/>
                <w:i w:val="0"/>
                <w:color w:val="7C3B20"/>
                <w:sz w:val="11"/>
              </w:rPr>
              <w:t>05  /  GOVERNED AI</w:t>
            </w:r>
          </w:p>
          <w:p>
            <w:pPr>
              <w:spacing w:before="0" w:after="80" w:line="240" w:lineRule="auto"/>
              <w:keepNext/>
              <w:keepLines/>
            </w:pPr>
            <w:r>
              <w:rPr>
                <w:rFonts w:ascii="Georgia" w:hAnsi="Georgia" w:eastAsia="Georgia"/>
                <w:b/>
                <w:i w:val="0"/>
                <w:color w:val="17201D"/>
                <w:sz w:val="19"/>
              </w:rPr>
              <w:t>Governed AI architecture and context-as-code</w:t>
            </w:r>
          </w:p>
          <w:p>
            <w:pPr>
              <w:spacing w:before="0" w:after="0" w:line="257" w:lineRule="auto"/>
            </w:pPr>
            <w:r>
              <w:rPr>
                <w:rFonts w:ascii="Aptos" w:hAnsi="Aptos" w:eastAsia="Aptos"/>
                <w:b w:val="0"/>
                <w:i w:val="0"/>
                <w:color w:val="5F6862"/>
                <w:sz w:val="13"/>
              </w:rPr>
              <w:t>Extended established engineering, governance, and service-management discipline into AI through source-governed, model-agnostic systems built around explicit authority, durable context, evaluation, bounded automation, validation, receipts, and human accountability. Developed patterns that preserve source lineage, decision authority, operating boundaries, implementation instructions, and evidence across tools and model changes.</w:t>
            </w:r>
          </w:p>
        </w:tc>
      </w:tr>
    </w:tbl>
    <w:p>
      <w:pPr>
        <w:spacing w:before="100" w:after="20" w:line="240" w:lineRule="auto"/>
        <w:keepNext/>
        <w:keepLines/>
      </w:pPr>
      <w:r>
        <w:rPr>
          <w:rFonts w:ascii="Consolas" w:hAnsi="Consolas" w:eastAsia="Consolas"/>
          <w:b/>
          <w:i w:val="0"/>
          <w:color w:val="7C3B20"/>
          <w:sz w:val="12"/>
        </w:rPr>
        <w:t>OPERATING RANGE</w:t>
      </w:r>
    </w:p>
    <w:p>
      <w:pPr>
        <w:spacing w:before="0" w:after="60" w:line="240" w:lineRule="auto"/>
        <w:keepNext/>
        <w:keepLines/>
        <w:pBdr>
          <w:bottom w:val="single" w:sz="5" w:space="2" w:color="B9B8B1"/>
        </w:pBdr>
      </w:pPr>
      <w:r>
        <w:rPr>
          <w:rFonts w:ascii="Georgia" w:hAnsi="Georgia" w:eastAsia="Georgia"/>
          <w:b/>
          <w:i w:val="0"/>
          <w:color w:val="17201D"/>
          <w:sz w:val="27"/>
        </w:rPr>
        <w:t>Principles, capabilities, and foundation</w:t>
      </w:r>
    </w:p>
    <w:tbl>
      <w:tblPr>
        <w:tblW w:type="auto" w:w="0"/>
        <w:jc w:val="center"/>
        <w:tblLayout w:type="fixed"/>
        <w:tblLook w:firstColumn="1" w:firstRow="1" w:lastColumn="0" w:lastRow="0" w:noHBand="0" w:noVBand="1" w:val="04A0"/>
      </w:tblPr>
      <w:tblGrid>
        <w:gridCol w:w="5256"/>
        <w:gridCol w:w="5256"/>
      </w:tblGrid>
      <w:tr>
        <w:tc>
          <w:tcPr>
            <w:tcW w:type="dxa" w:w="5328"/>
            <w:tcBorders>
              <w:top w:val="nil"/>
              <w:left w:val="nil"/>
              <w:bottom w:val="nil"/>
              <w:right w:val="nil"/>
            </w:tcBorders>
            <w:tcMar>
              <w:top w:w="20" w:type="dxa"/>
              <w:start w:w="0" w:type="dxa"/>
              <w:bottom w:w="15" w:type="dxa"/>
              <w:end w:w="105" w:type="dxa"/>
            </w:tcMar>
          </w:tcPr>
          <w:p>
            <w:pPr>
              <w:spacing w:before="0" w:after="60" w:line="240" w:lineRule="auto"/>
              <w:keepNext/>
              <w:keepLines/>
            </w:pPr>
            <w:r>
              <w:rPr>
                <w:rFonts w:ascii="Consolas" w:hAnsi="Consolas" w:eastAsia="Consolas"/>
                <w:b/>
                <w:i w:val="0"/>
                <w:color w:val="7C3B20"/>
                <w:sz w:val="12"/>
              </w:rPr>
              <w:t>OPERATING PRINCIPLES</w:t>
            </w:r>
          </w:p>
          <w:p>
            <w:pPr>
              <w:spacing w:before="0" w:after="23" w:line="240" w:lineRule="auto"/>
            </w:pPr>
            <w:r>
              <w:rPr>
                <w:rFonts w:ascii="Consolas" w:hAnsi="Consolas" w:eastAsia="Consolas"/>
                <w:b/>
                <w:i w:val="0"/>
                <w:color w:val="7C3B20"/>
                <w:sz w:val="11"/>
              </w:rPr>
              <w:t xml:space="preserve">01  </w:t>
            </w:r>
            <w:r>
              <w:rPr>
                <w:rFonts w:ascii="Georgia" w:hAnsi="Georgia" w:eastAsia="Georgia"/>
                <w:b/>
                <w:i w:val="0"/>
                <w:color w:val="17201D"/>
                <w:sz w:val="15"/>
              </w:rPr>
              <w:t>Systems over heroics</w:t>
            </w:r>
          </w:p>
          <w:p>
            <w:pPr>
              <w:spacing w:before="0" w:after="23" w:line="240" w:lineRule="auto"/>
            </w:pPr>
            <w:r>
              <w:rPr>
                <w:rFonts w:ascii="Consolas" w:hAnsi="Consolas" w:eastAsia="Consolas"/>
                <w:b/>
                <w:i w:val="0"/>
                <w:color w:val="7C3B20"/>
                <w:sz w:val="11"/>
              </w:rPr>
              <w:t xml:space="preserve">02  </w:t>
            </w:r>
            <w:r>
              <w:rPr>
                <w:rFonts w:ascii="Georgia" w:hAnsi="Georgia" w:eastAsia="Georgia"/>
                <w:b/>
                <w:i w:val="0"/>
                <w:color w:val="17201D"/>
                <w:sz w:val="15"/>
              </w:rPr>
              <w:t>Governance enables speed</w:t>
            </w:r>
          </w:p>
          <w:p>
            <w:pPr>
              <w:spacing w:before="0" w:after="23" w:line="240" w:lineRule="auto"/>
            </w:pPr>
            <w:r>
              <w:rPr>
                <w:rFonts w:ascii="Consolas" w:hAnsi="Consolas" w:eastAsia="Consolas"/>
                <w:b/>
                <w:i w:val="0"/>
                <w:color w:val="7C3B20"/>
                <w:sz w:val="11"/>
              </w:rPr>
              <w:t xml:space="preserve">03  </w:t>
            </w:r>
            <w:r>
              <w:rPr>
                <w:rFonts w:ascii="Georgia" w:hAnsi="Georgia" w:eastAsia="Georgia"/>
                <w:b/>
                <w:i w:val="0"/>
                <w:color w:val="17201D"/>
                <w:sz w:val="15"/>
              </w:rPr>
              <w:t>Architecture must survive operations</w:t>
            </w:r>
          </w:p>
          <w:p>
            <w:pPr>
              <w:spacing w:before="0" w:after="23" w:line="240" w:lineRule="auto"/>
            </w:pPr>
            <w:r>
              <w:rPr>
                <w:rFonts w:ascii="Consolas" w:hAnsi="Consolas" w:eastAsia="Consolas"/>
                <w:b/>
                <w:i w:val="0"/>
                <w:color w:val="7C3B20"/>
                <w:sz w:val="11"/>
              </w:rPr>
              <w:t xml:space="preserve">04  </w:t>
            </w:r>
            <w:r>
              <w:rPr>
                <w:rFonts w:ascii="Georgia" w:hAnsi="Georgia" w:eastAsia="Georgia"/>
                <w:b/>
                <w:i w:val="0"/>
                <w:color w:val="17201D"/>
                <w:sz w:val="15"/>
              </w:rPr>
              <w:t>Automation requires accountability</w:t>
            </w:r>
          </w:p>
          <w:p>
            <w:pPr>
              <w:spacing w:before="0" w:after="23" w:line="240" w:lineRule="auto"/>
            </w:pPr>
            <w:r>
              <w:rPr>
                <w:rFonts w:ascii="Consolas" w:hAnsi="Consolas" w:eastAsia="Consolas"/>
                <w:b/>
                <w:i w:val="0"/>
                <w:color w:val="7C3B20"/>
                <w:sz w:val="11"/>
              </w:rPr>
              <w:t xml:space="preserve">05  </w:t>
            </w:r>
            <w:r>
              <w:rPr>
                <w:rFonts w:ascii="Georgia" w:hAnsi="Georgia" w:eastAsia="Georgia"/>
                <w:b/>
                <w:i w:val="0"/>
                <w:color w:val="17201D"/>
                <w:sz w:val="15"/>
              </w:rPr>
              <w:t>Evidence before opinion</w:t>
            </w:r>
          </w:p>
          <w:p>
            <w:pPr>
              <w:spacing w:before="0" w:after="23" w:line="240" w:lineRule="auto"/>
            </w:pPr>
            <w:r>
              <w:rPr>
                <w:rFonts w:ascii="Consolas" w:hAnsi="Consolas" w:eastAsia="Consolas"/>
                <w:b/>
                <w:i w:val="0"/>
                <w:color w:val="7C3B20"/>
                <w:sz w:val="11"/>
              </w:rPr>
              <w:t xml:space="preserve">06  </w:t>
            </w:r>
            <w:r>
              <w:rPr>
                <w:rFonts w:ascii="Georgia" w:hAnsi="Georgia" w:eastAsia="Georgia"/>
                <w:b/>
                <w:i w:val="0"/>
                <w:color w:val="17201D"/>
                <w:sz w:val="15"/>
              </w:rPr>
              <w:t>AI extends engineering discipline</w:t>
            </w:r>
          </w:p>
        </w:tc>
        <w:tc>
          <w:tcPr>
            <w:tcW w:type="dxa" w:w="5328"/>
            <w:tcBorders>
              <w:top w:val="nil"/>
              <w:left w:val="nil"/>
              <w:bottom w:val="nil"/>
              <w:right w:val="nil"/>
            </w:tcBorders>
            <w:tcMar>
              <w:top w:w="20" w:type="dxa"/>
              <w:start w:w="105" w:type="dxa"/>
              <w:bottom w:w="15" w:type="dxa"/>
              <w:end w:w="0" w:type="dxa"/>
            </w:tcMar>
          </w:tcPr>
          <w:p>
            <w:pPr>
              <w:spacing w:before="0" w:after="60" w:line="240" w:lineRule="auto"/>
              <w:keepNext/>
              <w:keepLines/>
            </w:pPr>
            <w:r>
              <w:rPr>
                <w:rFonts w:ascii="Consolas" w:hAnsi="Consolas" w:eastAsia="Consolas"/>
                <w:b/>
                <w:i w:val="0"/>
                <w:color w:val="7C3B20"/>
                <w:sz w:val="12"/>
              </w:rPr>
              <w:t>CAPABILITY INDEX</w:t>
            </w:r>
          </w:p>
          <w:p>
            <w:pPr>
              <w:spacing w:before="0" w:after="15" w:line="240" w:lineRule="auto"/>
            </w:pPr>
            <w:r>
              <w:rPr>
                <w:rFonts w:ascii="Consolas" w:hAnsi="Consolas" w:eastAsia="Consolas"/>
                <w:b/>
                <w:i w:val="0"/>
                <w:color w:val="7C3B20"/>
                <w:sz w:val="10"/>
              </w:rPr>
              <w:t xml:space="preserve">01  </w:t>
            </w:r>
            <w:r>
              <w:rPr>
                <w:rFonts w:ascii="Aptos" w:hAnsi="Aptos" w:eastAsia="Aptos"/>
                <w:b/>
                <w:i w:val="0"/>
                <w:color w:val="17201D"/>
                <w:sz w:val="13"/>
              </w:rPr>
              <w:t>Endpoint and platform engineering</w:t>
            </w:r>
          </w:p>
          <w:p>
            <w:pPr>
              <w:spacing w:before="0" w:after="15" w:line="240" w:lineRule="auto"/>
            </w:pPr>
            <w:r>
              <w:rPr>
                <w:rFonts w:ascii="Consolas" w:hAnsi="Consolas" w:eastAsia="Consolas"/>
                <w:b/>
                <w:i w:val="0"/>
                <w:color w:val="7C3B20"/>
                <w:sz w:val="10"/>
              </w:rPr>
              <w:t xml:space="preserve">02  </w:t>
            </w:r>
            <w:r>
              <w:rPr>
                <w:rFonts w:ascii="Aptos" w:hAnsi="Aptos" w:eastAsia="Aptos"/>
                <w:b/>
                <w:i w:val="0"/>
                <w:color w:val="17201D"/>
                <w:sz w:val="13"/>
              </w:rPr>
              <w:t>Operational technology and ISA-95 environments</w:t>
            </w:r>
          </w:p>
          <w:p>
            <w:pPr>
              <w:spacing w:before="0" w:after="15" w:line="240" w:lineRule="auto"/>
            </w:pPr>
            <w:r>
              <w:rPr>
                <w:rFonts w:ascii="Consolas" w:hAnsi="Consolas" w:eastAsia="Consolas"/>
                <w:b/>
                <w:i w:val="0"/>
                <w:color w:val="7C3B20"/>
                <w:sz w:val="10"/>
              </w:rPr>
              <w:t xml:space="preserve">03  </w:t>
            </w:r>
            <w:r>
              <w:rPr>
                <w:rFonts w:ascii="Aptos" w:hAnsi="Aptos" w:eastAsia="Aptos"/>
                <w:b/>
                <w:i w:val="0"/>
                <w:color w:val="17201D"/>
                <w:sz w:val="13"/>
              </w:rPr>
              <w:t>Laboratory, manufacturing, and instrument systems</w:t>
            </w:r>
          </w:p>
          <w:p>
            <w:pPr>
              <w:spacing w:before="0" w:after="15" w:line="240" w:lineRule="auto"/>
            </w:pPr>
            <w:r>
              <w:rPr>
                <w:rFonts w:ascii="Consolas" w:hAnsi="Consolas" w:eastAsia="Consolas"/>
                <w:b/>
                <w:i w:val="0"/>
                <w:color w:val="7C3B20"/>
                <w:sz w:val="10"/>
              </w:rPr>
              <w:t xml:space="preserve">04  </w:t>
            </w:r>
            <w:r>
              <w:rPr>
                <w:rFonts w:ascii="Aptos" w:hAnsi="Aptos" w:eastAsia="Aptos"/>
                <w:b/>
                <w:i w:val="0"/>
                <w:color w:val="17201D"/>
                <w:sz w:val="13"/>
              </w:rPr>
              <w:t>Automation, qualification, and controlled delivery</w:t>
            </w:r>
          </w:p>
          <w:p>
            <w:pPr>
              <w:spacing w:before="0" w:after="15" w:line="240" w:lineRule="auto"/>
            </w:pPr>
            <w:r>
              <w:rPr>
                <w:rFonts w:ascii="Consolas" w:hAnsi="Consolas" w:eastAsia="Consolas"/>
                <w:b/>
                <w:i w:val="0"/>
                <w:color w:val="7C3B20"/>
                <w:sz w:val="10"/>
              </w:rPr>
              <w:t xml:space="preserve">05  </w:t>
            </w:r>
            <w:r>
              <w:rPr>
                <w:rFonts w:ascii="Aptos" w:hAnsi="Aptos" w:eastAsia="Aptos"/>
                <w:b/>
                <w:i w:val="0"/>
                <w:color w:val="17201D"/>
                <w:sz w:val="13"/>
              </w:rPr>
              <w:t>Infrastructure, network, storage, and recovery</w:t>
            </w:r>
          </w:p>
          <w:p>
            <w:pPr>
              <w:spacing w:before="0" w:after="15" w:line="240" w:lineRule="auto"/>
            </w:pPr>
            <w:r>
              <w:rPr>
                <w:rFonts w:ascii="Consolas" w:hAnsi="Consolas" w:eastAsia="Consolas"/>
                <w:b/>
                <w:i w:val="0"/>
                <w:color w:val="7C3B20"/>
                <w:sz w:val="10"/>
              </w:rPr>
              <w:t xml:space="preserve">06  </w:t>
            </w:r>
            <w:r>
              <w:rPr>
                <w:rFonts w:ascii="Aptos" w:hAnsi="Aptos" w:eastAsia="Aptos"/>
                <w:b/>
                <w:i w:val="0"/>
                <w:color w:val="17201D"/>
                <w:sz w:val="13"/>
              </w:rPr>
              <w:t>Identity, security, and endpoint control</w:t>
            </w:r>
          </w:p>
          <w:p>
            <w:pPr>
              <w:spacing w:before="0" w:after="15" w:line="240" w:lineRule="auto"/>
            </w:pPr>
            <w:r>
              <w:rPr>
                <w:rFonts w:ascii="Consolas" w:hAnsi="Consolas" w:eastAsia="Consolas"/>
                <w:b/>
                <w:i w:val="0"/>
                <w:color w:val="7C3B20"/>
                <w:sz w:val="10"/>
              </w:rPr>
              <w:t xml:space="preserve">07  </w:t>
            </w:r>
            <w:r>
              <w:rPr>
                <w:rFonts w:ascii="Aptos" w:hAnsi="Aptos" w:eastAsia="Aptos"/>
                <w:b/>
                <w:i w:val="0"/>
                <w:color w:val="17201D"/>
                <w:sz w:val="13"/>
              </w:rPr>
              <w:t>Service delivery and operational leadership</w:t>
            </w:r>
          </w:p>
          <w:p>
            <w:pPr>
              <w:spacing w:before="0" w:after="15" w:line="240" w:lineRule="auto"/>
            </w:pPr>
            <w:r>
              <w:rPr>
                <w:rFonts w:ascii="Consolas" w:hAnsi="Consolas" w:eastAsia="Consolas"/>
                <w:b/>
                <w:i w:val="0"/>
                <w:color w:val="7C3B20"/>
                <w:sz w:val="10"/>
              </w:rPr>
              <w:t xml:space="preserve">08  </w:t>
            </w:r>
            <w:r>
              <w:rPr>
                <w:rFonts w:ascii="Aptos" w:hAnsi="Aptos" w:eastAsia="Aptos"/>
                <w:b/>
                <w:i w:val="0"/>
                <w:color w:val="17201D"/>
                <w:sz w:val="13"/>
              </w:rPr>
              <w:t>Product, program, and transformation delivery</w:t>
            </w:r>
          </w:p>
          <w:p>
            <w:pPr>
              <w:spacing w:before="0" w:after="15" w:line="240" w:lineRule="auto"/>
            </w:pPr>
            <w:r>
              <w:rPr>
                <w:rFonts w:ascii="Consolas" w:hAnsi="Consolas" w:eastAsia="Consolas"/>
                <w:b/>
                <w:i w:val="0"/>
                <w:color w:val="7C3B20"/>
                <w:sz w:val="10"/>
              </w:rPr>
              <w:t xml:space="preserve">09  </w:t>
            </w:r>
            <w:r>
              <w:rPr>
                <w:rFonts w:ascii="Aptos" w:hAnsi="Aptos" w:eastAsia="Aptos"/>
                <w:b/>
                <w:i w:val="0"/>
                <w:color w:val="17201D"/>
                <w:sz w:val="13"/>
              </w:rPr>
              <w:t>Acquisition, divestiture, and transition engineering</w:t>
            </w:r>
          </w:p>
          <w:p>
            <w:pPr>
              <w:spacing w:before="0" w:after="15" w:line="240" w:lineRule="auto"/>
            </w:pPr>
            <w:r>
              <w:rPr>
                <w:rFonts w:ascii="Consolas" w:hAnsi="Consolas" w:eastAsia="Consolas"/>
                <w:b/>
                <w:i w:val="0"/>
                <w:color w:val="7C3B20"/>
                <w:sz w:val="10"/>
              </w:rPr>
              <w:t xml:space="preserve">10  </w:t>
            </w:r>
            <w:r>
              <w:rPr>
                <w:rFonts w:ascii="Aptos" w:hAnsi="Aptos" w:eastAsia="Aptos"/>
                <w:b/>
                <w:i w:val="0"/>
                <w:color w:val="17201D"/>
                <w:sz w:val="13"/>
              </w:rPr>
              <w:t>Regulated delivery, quality, and audit readiness</w:t>
            </w:r>
          </w:p>
          <w:p>
            <w:pPr>
              <w:spacing w:before="0" w:after="15" w:line="240" w:lineRule="auto"/>
            </w:pPr>
            <w:r>
              <w:rPr>
                <w:rFonts w:ascii="Consolas" w:hAnsi="Consolas" w:eastAsia="Consolas"/>
                <w:b/>
                <w:i w:val="0"/>
                <w:color w:val="7C3B20"/>
                <w:sz w:val="10"/>
              </w:rPr>
              <w:t xml:space="preserve">11  </w:t>
            </w:r>
            <w:r>
              <w:rPr>
                <w:rFonts w:ascii="Aptos" w:hAnsi="Aptos" w:eastAsia="Aptos"/>
                <w:b/>
                <w:i w:val="0"/>
                <w:color w:val="17201D"/>
                <w:sz w:val="13"/>
              </w:rPr>
              <w:t>AI architecture and governed automation</w:t>
            </w:r>
          </w:p>
          <w:p>
            <w:pPr>
              <w:spacing w:before="0" w:after="15" w:line="240" w:lineRule="auto"/>
            </w:pPr>
            <w:r>
              <w:rPr>
                <w:rFonts w:ascii="Consolas" w:hAnsi="Consolas" w:eastAsia="Consolas"/>
                <w:b/>
                <w:i w:val="0"/>
                <w:color w:val="7C3B20"/>
                <w:sz w:val="10"/>
              </w:rPr>
              <w:t xml:space="preserve">12  </w:t>
            </w:r>
            <w:r>
              <w:rPr>
                <w:rFonts w:ascii="Aptos" w:hAnsi="Aptos" w:eastAsia="Aptos"/>
                <w:b/>
                <w:i w:val="0"/>
                <w:color w:val="17201D"/>
                <w:sz w:val="13"/>
              </w:rPr>
              <w:t>People, suppliers, and financial execution</w:t>
            </w:r>
          </w:p>
        </w:tc>
      </w:tr>
    </w:tbl>
    <w:tbl>
      <w:tblPr>
        <w:tblW w:type="auto" w:w="0"/>
        <w:jc w:val="center"/>
        <w:tblLayout w:type="fixed"/>
        <w:tblLook w:firstColumn="1" w:firstRow="1" w:lastColumn="0" w:lastRow="0" w:noHBand="0" w:noVBand="1" w:val="04A0"/>
      </w:tblPr>
      <w:tblGrid>
        <w:gridCol w:w="10656"/>
      </w:tblGrid>
      <w:tr>
        <w:tc>
          <w:tcPr>
            <w:tcW w:type="dxa" w:w="10656"/>
            <w:shd w:fill="17231F" w:val="clear"/>
            <w:tcMar>
              <w:top w:w="62" w:type="dxa"/>
              <w:start w:w="105" w:type="dxa"/>
              <w:bottom w:w="62" w:type="dxa"/>
              <w:end w:w="105" w:type="dxa"/>
            </w:tcMar>
            <w:tcBorders>
              <w:top w:val="single" w:sz="16" w:color="A6532C"/>
            </w:tcBorders>
          </w:tcPr>
          <w:p>
            <w:pPr>
              <w:spacing w:before="0" w:after="40" w:line="240" w:lineRule="auto"/>
              <w:keepNext/>
              <w:keepLines/>
            </w:pPr>
            <w:r>
              <w:rPr>
                <w:rFonts w:ascii="Consolas" w:hAnsi="Consolas" w:eastAsia="Consolas"/>
                <w:b/>
                <w:i w:val="0"/>
                <w:color w:val="DF9A72"/>
                <w:sz w:val="11"/>
              </w:rPr>
              <w:t>FOUNDATIONAL SYSTEMS DISCIPLINE</w:t>
            </w:r>
          </w:p>
          <w:p>
            <w:pPr>
              <w:spacing w:before="0" w:after="30" w:line="245" w:lineRule="auto"/>
            </w:pPr>
            <w:r>
              <w:rPr>
                <w:rFonts w:ascii="Aptos" w:hAnsi="Aptos" w:eastAsia="Aptos"/>
                <w:b/>
                <w:i w:val="0"/>
                <w:color w:val="F7F5EF"/>
                <w:sz w:val="13"/>
              </w:rPr>
              <w:t>Career foundation spans U.S. Air Force communications and electronics; infrastructure and plant systems engineering; laboratory technology; networks, servers, storage, backup, and recovery; site and regional leadership; North America and Americas supply-chain service delivery; and global migration and transformation execution.</w:t>
            </w:r>
          </w:p>
          <w:p>
            <w:pPr>
              <w:spacing w:before="0" w:after="0" w:line="245" w:lineRule="auto"/>
            </w:pPr>
            <w:r>
              <w:rPr>
                <w:rFonts w:ascii="Aptos" w:hAnsi="Aptos" w:eastAsia="Aptos"/>
                <w:b w:val="0"/>
                <w:i w:val="0"/>
                <w:color w:val="C8D0CB"/>
                <w:sz w:val="13"/>
              </w:rPr>
              <w:t>Built the technical foundation in signal quality, calibration, fault isolation, operational reliability, disciplined troubleshooting, mission-critical communications, and early computing and systems responsibilities.</w:t>
            </w:r>
          </w:p>
        </w:tc>
      </w:tr>
    </w:tbl>
    <w:tbl>
      <w:tblPr>
        <w:tblW w:type="auto" w:w="0"/>
        <w:jc w:val="center"/>
        <w:tblLayout w:type="fixed"/>
        <w:tblLook w:firstColumn="1" w:firstRow="1" w:lastColumn="0" w:lastRow="0" w:noHBand="0" w:noVBand="1" w:val="04A0"/>
      </w:tblPr>
      <w:tblGrid>
        <w:gridCol w:w="5256"/>
        <w:gridCol w:w="5256"/>
      </w:tblGrid>
      <w:tr>
        <w:tc>
          <w:tcPr>
            <w:tcW w:type="dxa" w:w="5328"/>
            <w:tcMar>
              <w:top w:w="38" w:type="dxa"/>
              <w:start w:w="70" w:type="dxa"/>
              <w:bottom w:w="38" w:type="dxa"/>
              <w:end w:w="70" w:type="dxa"/>
            </w:tcMar>
            <w:tcBorders>
              <w:top w:val="single" w:sz="3" w:color="B9B8B1"/>
              <w:left w:val="single" w:sz="3" w:color="B9B8B1"/>
              <w:bottom w:val="single" w:sz="3" w:color="B9B8B1"/>
              <w:right w:val="single" w:sz="3" w:color="B9B8B1"/>
            </w:tcBorders>
          </w:tcPr>
          <w:p>
            <w:pPr>
              <w:spacing w:before="0" w:after="28" w:line="240" w:lineRule="auto"/>
              <w:keepNext/>
              <w:keepLines/>
            </w:pPr>
            <w:r>
              <w:rPr>
                <w:rFonts w:ascii="Consolas" w:hAnsi="Consolas" w:eastAsia="Consolas"/>
                <w:b/>
                <w:i w:val="0"/>
                <w:color w:val="7C3B20"/>
                <w:sz w:val="11"/>
              </w:rPr>
              <w:t>REGULATED DELIVERY</w:t>
            </w:r>
          </w:p>
          <w:p>
            <w:pPr>
              <w:spacing w:before="0" w:after="0" w:line="240" w:lineRule="auto"/>
            </w:pPr>
            <w:r>
              <w:rPr>
                <w:rFonts w:ascii="Aptos" w:hAnsi="Aptos" w:eastAsia="Aptos"/>
                <w:b w:val="0"/>
                <w:i w:val="0"/>
                <w:color w:val="5F6862"/>
                <w:sz w:val="12"/>
              </w:rPr>
              <w:t>Twenty-five years working in regulated healthcare technology environments where qualification, validation, change control, auditability, cybersecurity, recovery, and business continuity are part of normal delivery rather than specialist add-ons. Supported numerous internal and external regulatory audits and inspections without an FDA Form 483 observation attributable to the managed platform area; the most recent comprehensive internal regulatory review concluded with zero observations.</w:t>
            </w:r>
          </w:p>
        </w:tc>
        <w:tc>
          <w:tcPr>
            <w:tcW w:type="dxa" w:w="5328"/>
            <w:tcMar>
              <w:top w:w="38" w:type="dxa"/>
              <w:start w:w="70" w:type="dxa"/>
              <w:bottom w:w="38" w:type="dxa"/>
              <w:end w:w="70" w:type="dxa"/>
            </w:tcMar>
            <w:tcBorders>
              <w:top w:val="single" w:sz="3" w:color="B9B8B1"/>
              <w:left w:val="single" w:sz="3" w:color="B9B8B1"/>
              <w:bottom w:val="single" w:sz="3" w:color="B9B8B1"/>
              <w:right w:val="single" w:sz="3" w:color="B9B8B1"/>
            </w:tcBorders>
          </w:tcPr>
          <w:p>
            <w:pPr>
              <w:spacing w:before="0" w:after="28" w:line="240" w:lineRule="auto"/>
              <w:keepNext/>
              <w:keepLines/>
            </w:pPr>
            <w:r>
              <w:rPr>
                <w:rFonts w:ascii="Consolas" w:hAnsi="Consolas" w:eastAsia="Consolas"/>
                <w:b/>
                <w:i w:val="0"/>
                <w:color w:val="7C3B20"/>
                <w:sz w:val="11"/>
              </w:rPr>
              <w:t>CREDENTIALS &amp; DEVELOPMENT</w:t>
            </w:r>
          </w:p>
          <w:p>
            <w:pPr>
              <w:spacing w:before="0" w:after="0" w:line="240" w:lineRule="auto"/>
            </w:pPr>
            <w:r>
              <w:rPr>
                <w:rFonts w:ascii="Aptos" w:hAnsi="Aptos" w:eastAsia="Aptos"/>
                <w:b w:val="0"/>
                <w:i w:val="0"/>
                <w:color w:val="5F6862"/>
                <w:sz w:val="12"/>
              </w:rPr>
              <w:t>Historical Microsoft and Citrix certifications | ITIL Foundation v3 | continuing technical, architecture, quality, cybersecurity, leadership, and service-management development.</w:t>
            </w:r>
          </w:p>
        </w:tc>
      </w:tr>
      <w:tr>
        <w:tc>
          <w:tcPr>
            <w:tcW w:type="dxa" w:w="10656"/>
            <w:tcMar>
              <w:top w:w="38" w:type="dxa"/>
              <w:start w:w="70" w:type="dxa"/>
              <w:bottom w:w="38" w:type="dxa"/>
              <w:end w:w="70" w:type="dxa"/>
            </w:tcMar>
            <w:gridSpan w:val="2"/>
            <w:tcBorders>
              <w:top w:val="single" w:sz="3" w:color="B9B8B1"/>
              <w:left w:val="single" w:sz="3" w:color="B9B8B1"/>
              <w:bottom w:val="single" w:sz="3" w:color="B9B8B1"/>
              <w:right w:val="single" w:sz="3" w:color="B9B8B1"/>
            </w:tcBorders>
          </w:tcPr>
          <w:p>
            <w:pPr>
              <w:spacing w:before="0" w:after="28" w:line="240" w:lineRule="auto"/>
              <w:keepNext/>
              <w:keepLines/>
            </w:pPr>
            <w:r>
              <w:rPr>
                <w:rFonts w:ascii="Consolas" w:hAnsi="Consolas" w:eastAsia="Consolas"/>
                <w:b/>
                <w:i w:val="0"/>
                <w:color w:val="7C3B20"/>
                <w:sz w:val="11"/>
              </w:rPr>
              <w:t>BEST-FIT WORK</w:t>
            </w:r>
          </w:p>
          <w:p>
            <w:pPr>
              <w:spacing w:before="0" w:after="0" w:line="240" w:lineRule="auto"/>
            </w:pPr>
            <w:r>
              <w:rPr>
                <w:rFonts w:ascii="Aptos" w:hAnsi="Aptos" w:eastAsia="Aptos"/>
                <w:b w:val="0"/>
                <w:i w:val="0"/>
                <w:color w:val="5F6862"/>
                <w:sz w:val="12"/>
              </w:rPr>
              <w:t>Best aligned with senior architecture, engineering, transformation, and platform-leadership roles where technical depth, regulatory discipline, enterprise scale, and accountable execution must coexist.</w:t>
            </w:r>
          </w:p>
        </w:tc>
      </w:tr>
    </w:tbl>
    <w:sectPr w:rsidR="00FC693F" w:rsidRPr="0006063C" w:rsidSect="00034616">
      <w:footerReference w:type="default" r:id="rId11"/>
      <w:pgSz w:w="12240" w:h="15840"/>
      <w:pgMar w:top="634" w:right="792" w:bottom="691" w:left="792" w:header="216"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Pr>
        <w:rFonts w:ascii="Consolas" w:hAnsi="Consolas" w:eastAsia="Consolas"/>
        <w:b w:val="0"/>
        <w:i w:val="0"/>
        <w:color w:val="5F6862"/>
        <w:sz w:val="13"/>
      </w:rPr>
      <w:t>malott.ai  |  tony@malott.ai  |  public-safe; employer and private detail omitted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64" w:lineRule="auto"/>
    </w:pPr>
    <w:rPr>
      <w:rFonts w:ascii="Aptos" w:hAnsi="Aptos" w:eastAsia="Aptos"/>
      <w:color w:val="17201D"/>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alott.ai/" TargetMode="External"/><Relationship Id="rId10" Type="http://schemas.openxmlformats.org/officeDocument/2006/relationships/hyperlink" Target="mailto:tony@malott.ai" TargetMode="Externa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Tony Malott | Executive CV</dc:title>
  <dc:subject>Enterprise transformation, regulated systems, global platform engineering, and governed AI architecture</dc:subject>
  <dc:creator>Tony Malott</dc:creator>
  <cp:keywords>enterprise architecture, regulated systems, operational technology, platform engineering, governed AI, transformation</cp:keywords>
  <dc:description>Generated from pinklon/malott-ai-next content/resume.json at 5637670d7218f1289bd5629670223420240ba141</dc:description>
  <cp:lastModifiedBy/>
  <cp:revision>1</cp:revision>
  <dcterms:created xsi:type="dcterms:W3CDTF">2013-12-23T23:15:00Z</dcterms:created>
  <dcterms:modified xsi:type="dcterms:W3CDTF">2013-12-23T23:15:00Z</dcterms:modified>
  <cp:category/>
</cp:coreProperties>
</file>